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D650" w14:textId="642974EC" w:rsidR="00EC64E2" w:rsidRPr="000640AC" w:rsidRDefault="006C131C" w:rsidP="000640AC">
      <w:pPr>
        <w:pStyle w:val="BodyText"/>
        <w:spacing w:line="360" w:lineRule="auto"/>
        <w:rPr>
          <w:color w:val="073763"/>
          <w:sz w:val="22"/>
          <w:szCs w:val="22"/>
        </w:rPr>
      </w:pPr>
      <w:r w:rsidRPr="000640AC">
        <w:rPr>
          <w:sz w:val="22"/>
          <w:szCs w:val="22"/>
        </w:rPr>
        <w:t>JOB</w:t>
      </w:r>
      <w:r w:rsidRPr="000640AC">
        <w:rPr>
          <w:spacing w:val="-1"/>
          <w:sz w:val="22"/>
          <w:szCs w:val="22"/>
        </w:rPr>
        <w:t xml:space="preserve"> </w:t>
      </w:r>
      <w:r w:rsidRPr="000640AC">
        <w:rPr>
          <w:sz w:val="22"/>
          <w:szCs w:val="22"/>
        </w:rPr>
        <w:t xml:space="preserve">TITLE: </w:t>
      </w:r>
      <w:r w:rsidR="00EC64E2" w:rsidRPr="000640AC">
        <w:rPr>
          <w:sz w:val="22"/>
          <w:szCs w:val="22"/>
        </w:rPr>
        <w:t xml:space="preserve">Head of HR / Employee Relations, Europe &amp; Middle East </w:t>
      </w:r>
    </w:p>
    <w:p w14:paraId="04CE0153" w14:textId="7014DBA8" w:rsidR="006C131C" w:rsidRPr="000640AC" w:rsidRDefault="006C131C" w:rsidP="000640AC">
      <w:pPr>
        <w:pStyle w:val="BodyText"/>
        <w:spacing w:line="360" w:lineRule="auto"/>
        <w:rPr>
          <w:bCs/>
          <w:sz w:val="22"/>
          <w:szCs w:val="22"/>
        </w:rPr>
      </w:pPr>
      <w:r w:rsidRPr="000640AC">
        <w:rPr>
          <w:sz w:val="22"/>
          <w:szCs w:val="22"/>
        </w:rPr>
        <w:t xml:space="preserve">LOCATION: </w:t>
      </w:r>
      <w:r w:rsidRPr="000640AC">
        <w:rPr>
          <w:color w:val="00B050"/>
          <w:sz w:val="22"/>
          <w:szCs w:val="22"/>
        </w:rPr>
        <w:t xml:space="preserve"> </w:t>
      </w:r>
      <w:r w:rsidRPr="000640AC">
        <w:rPr>
          <w:color w:val="00B050"/>
          <w:sz w:val="22"/>
          <w:szCs w:val="22"/>
        </w:rPr>
        <w:tab/>
      </w:r>
    </w:p>
    <w:p w14:paraId="49BDD49E" w14:textId="6B3BAFCB" w:rsidR="006C131C" w:rsidRPr="000640AC" w:rsidRDefault="001F055E" w:rsidP="000640AC">
      <w:pPr>
        <w:pStyle w:val="BodyText"/>
        <w:spacing w:line="360" w:lineRule="auto"/>
        <w:rPr>
          <w:bCs/>
          <w:color w:val="000000" w:themeColor="text1"/>
          <w:sz w:val="22"/>
          <w:szCs w:val="22"/>
        </w:rPr>
      </w:pPr>
      <w:r w:rsidRPr="000640AC">
        <w:rPr>
          <w:bCs/>
          <w:color w:val="000000" w:themeColor="text1"/>
          <w:sz w:val="22"/>
          <w:szCs w:val="22"/>
        </w:rPr>
        <w:t>HYBRID WORKING:</w:t>
      </w:r>
      <w:r w:rsidR="006C131C" w:rsidRPr="000640AC">
        <w:rPr>
          <w:bCs/>
          <w:color w:val="000000" w:themeColor="text1"/>
          <w:sz w:val="22"/>
          <w:szCs w:val="22"/>
        </w:rPr>
        <w:t xml:space="preserve"> </w:t>
      </w:r>
      <w:r w:rsidR="006C131C" w:rsidRPr="000640AC">
        <w:rPr>
          <w:bCs/>
          <w:color w:val="000000" w:themeColor="text1"/>
          <w:sz w:val="22"/>
          <w:szCs w:val="22"/>
        </w:rPr>
        <w:tab/>
        <w:t xml:space="preserve"> </w:t>
      </w:r>
      <w:r w:rsidR="006C131C" w:rsidRPr="000640AC">
        <w:rPr>
          <w:bCs/>
          <w:color w:val="000000" w:themeColor="text1"/>
          <w:sz w:val="22"/>
          <w:szCs w:val="22"/>
        </w:rPr>
        <w:tab/>
      </w:r>
      <w:r w:rsidR="006C131C" w:rsidRPr="000640AC">
        <w:rPr>
          <w:sz w:val="22"/>
          <w:szCs w:val="22"/>
        </w:rPr>
        <w:tab/>
      </w:r>
    </w:p>
    <w:p w14:paraId="1B2272C4" w14:textId="6BD3F102" w:rsidR="006C131C" w:rsidRPr="000640AC" w:rsidRDefault="006C131C" w:rsidP="000640AC">
      <w:pPr>
        <w:pStyle w:val="BodyText"/>
        <w:spacing w:line="360" w:lineRule="auto"/>
        <w:rPr>
          <w:sz w:val="22"/>
          <w:szCs w:val="22"/>
        </w:rPr>
      </w:pPr>
      <w:r w:rsidRPr="000640AC">
        <w:rPr>
          <w:sz w:val="22"/>
          <w:szCs w:val="22"/>
        </w:rPr>
        <w:t>REPORTS</w:t>
      </w:r>
      <w:r w:rsidRPr="000640AC">
        <w:rPr>
          <w:spacing w:val="-1"/>
          <w:sz w:val="22"/>
          <w:szCs w:val="22"/>
        </w:rPr>
        <w:t xml:space="preserve"> </w:t>
      </w:r>
      <w:r w:rsidRPr="000640AC">
        <w:rPr>
          <w:sz w:val="22"/>
          <w:szCs w:val="22"/>
        </w:rPr>
        <w:t>TO:</w:t>
      </w:r>
      <w:r w:rsidR="001F055E" w:rsidRPr="000640AC">
        <w:rPr>
          <w:sz w:val="22"/>
          <w:szCs w:val="22"/>
        </w:rPr>
        <w:t xml:space="preserve"> </w:t>
      </w:r>
      <w:r w:rsidR="001F055E" w:rsidRPr="000640AC">
        <w:rPr>
          <w:bCs/>
          <w:color w:val="434343"/>
          <w:sz w:val="22"/>
          <w:szCs w:val="22"/>
        </w:rPr>
        <w:t>Group Chief People Officer</w:t>
      </w:r>
      <w:r w:rsidRPr="000640AC">
        <w:rPr>
          <w:sz w:val="22"/>
          <w:szCs w:val="22"/>
        </w:rPr>
        <w:tab/>
      </w:r>
    </w:p>
    <w:p w14:paraId="03DD9F0A" w14:textId="0E035CBF" w:rsidR="006C131C" w:rsidRPr="000640AC" w:rsidRDefault="006C131C" w:rsidP="000640AC">
      <w:pPr>
        <w:pStyle w:val="BodyText"/>
        <w:spacing w:line="360" w:lineRule="auto"/>
        <w:rPr>
          <w:bCs/>
          <w:sz w:val="22"/>
          <w:szCs w:val="22"/>
        </w:rPr>
      </w:pPr>
      <w:r w:rsidRPr="000640AC">
        <w:rPr>
          <w:sz w:val="22"/>
          <w:szCs w:val="22"/>
        </w:rPr>
        <w:t>ACCOUNTABLE</w:t>
      </w:r>
      <w:r w:rsidRPr="000640AC">
        <w:rPr>
          <w:spacing w:val="-1"/>
          <w:sz w:val="22"/>
          <w:szCs w:val="22"/>
        </w:rPr>
        <w:t xml:space="preserve"> </w:t>
      </w:r>
      <w:r w:rsidRPr="000640AC">
        <w:rPr>
          <w:sz w:val="22"/>
          <w:szCs w:val="22"/>
        </w:rPr>
        <w:t xml:space="preserve">TO: </w:t>
      </w:r>
      <w:r w:rsidR="001F055E" w:rsidRPr="000640AC">
        <w:rPr>
          <w:bCs/>
          <w:color w:val="434343"/>
          <w:sz w:val="22"/>
          <w:szCs w:val="22"/>
        </w:rPr>
        <w:t>Group Chief People Officer</w:t>
      </w:r>
      <w:r w:rsidRPr="000640AC">
        <w:rPr>
          <w:sz w:val="22"/>
          <w:szCs w:val="22"/>
        </w:rPr>
        <w:tab/>
      </w:r>
    </w:p>
    <w:p w14:paraId="682AFC67" w14:textId="77777777" w:rsidR="006C131C" w:rsidRDefault="006C131C" w:rsidP="000640AC">
      <w:pPr>
        <w:pStyle w:val="BodyText"/>
        <w:spacing w:line="360" w:lineRule="auto"/>
        <w:rPr>
          <w:sz w:val="22"/>
          <w:szCs w:val="22"/>
        </w:rPr>
      </w:pPr>
    </w:p>
    <w:p w14:paraId="76001095" w14:textId="5E6E1BEC" w:rsidR="000640AC" w:rsidRPr="000640AC" w:rsidRDefault="000640AC" w:rsidP="000640AC">
      <w:pPr>
        <w:pStyle w:val="BodyText"/>
        <w:spacing w:line="360" w:lineRule="auto"/>
        <w:rPr>
          <w:sz w:val="22"/>
          <w:szCs w:val="22"/>
        </w:rPr>
      </w:pPr>
      <w:r w:rsidRPr="000640AC">
        <w:rPr>
          <w:b/>
          <w:bCs/>
          <w:sz w:val="22"/>
          <w:szCs w:val="22"/>
        </w:rPr>
        <w:t>ABOUT US:</w:t>
      </w:r>
    </w:p>
    <w:p w14:paraId="7B89229B" w14:textId="77777777" w:rsidR="000640AC" w:rsidRPr="000640AC" w:rsidRDefault="000640AC" w:rsidP="000640AC">
      <w:pPr>
        <w:pStyle w:val="BodyText"/>
        <w:spacing w:line="360" w:lineRule="auto"/>
        <w:rPr>
          <w:sz w:val="22"/>
          <w:szCs w:val="22"/>
        </w:rPr>
      </w:pPr>
      <w:r w:rsidRPr="000640AC">
        <w:rPr>
          <w:sz w:val="22"/>
          <w:szCs w:val="22"/>
        </w:rPr>
        <w:t xml:space="preserve">At Outcomes First Group, we believe every child can thrive when given the right environment for success. As one of the world’s leading providers in our sector, we deliver exceptional, research-led education tailored to </w:t>
      </w:r>
      <w:proofErr w:type="gramStart"/>
      <w:r w:rsidRPr="000640AC">
        <w:rPr>
          <w:sz w:val="22"/>
          <w:szCs w:val="22"/>
        </w:rPr>
        <w:t>each individual</w:t>
      </w:r>
      <w:proofErr w:type="gramEnd"/>
      <w:r w:rsidRPr="000640AC">
        <w:rPr>
          <w:sz w:val="22"/>
          <w:szCs w:val="22"/>
        </w:rPr>
        <w:t>,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44B42B11" w14:textId="77777777" w:rsidR="000640AC" w:rsidRPr="000640AC" w:rsidRDefault="000640AC" w:rsidP="000640AC">
      <w:pPr>
        <w:pStyle w:val="BodyText"/>
        <w:spacing w:line="360" w:lineRule="auto"/>
        <w:rPr>
          <w:sz w:val="22"/>
          <w:szCs w:val="22"/>
        </w:rPr>
      </w:pPr>
    </w:p>
    <w:p w14:paraId="5421D6FB" w14:textId="77777777" w:rsidR="006C131C" w:rsidRPr="000640AC" w:rsidRDefault="006C131C" w:rsidP="000640AC">
      <w:pPr>
        <w:pStyle w:val="BodyText"/>
        <w:spacing w:line="360" w:lineRule="auto"/>
        <w:rPr>
          <w:b/>
          <w:bCs/>
          <w:sz w:val="22"/>
          <w:szCs w:val="22"/>
        </w:rPr>
      </w:pPr>
      <w:r w:rsidRPr="000640AC">
        <w:rPr>
          <w:b/>
          <w:bCs/>
          <w:sz w:val="22"/>
          <w:szCs w:val="22"/>
        </w:rPr>
        <w:t xml:space="preserve">JOB PURPOSE: </w:t>
      </w:r>
    </w:p>
    <w:p w14:paraId="439571C0" w14:textId="77777777" w:rsidR="00EC64E2" w:rsidRPr="000640AC" w:rsidRDefault="00EC64E2" w:rsidP="000640AC">
      <w:pPr>
        <w:pStyle w:val="BodyText"/>
        <w:spacing w:line="360" w:lineRule="auto"/>
        <w:rPr>
          <w:color w:val="434343"/>
          <w:sz w:val="22"/>
          <w:szCs w:val="22"/>
        </w:rPr>
      </w:pPr>
      <w:r w:rsidRPr="000640AC">
        <w:rPr>
          <w:color w:val="434343"/>
          <w:sz w:val="22"/>
          <w:szCs w:val="22"/>
        </w:rPr>
        <w:t xml:space="preserve">As Outcomes First Group (OFG) enters an exciting period of growth and international expansion, this role will play a critical part in shaping the Group’s organisational resilience by leading and delivering the employee relations strategy and operations across Europe and the Middle East. Combining strategic influence with deep technical expertise, the postholder will ensure legal compliance, effective case management, and proactive risk mitigation, while directly managing complex ER issues in a regulated, multi-site environment. </w:t>
      </w:r>
    </w:p>
    <w:p w14:paraId="59967A6D" w14:textId="77777777" w:rsidR="00EC64E2" w:rsidRPr="000640AC" w:rsidRDefault="00EC64E2" w:rsidP="000640AC">
      <w:pPr>
        <w:pStyle w:val="BodyText"/>
        <w:spacing w:line="360" w:lineRule="auto"/>
        <w:rPr>
          <w:color w:val="434343"/>
          <w:sz w:val="22"/>
          <w:szCs w:val="22"/>
        </w:rPr>
      </w:pPr>
    </w:p>
    <w:p w14:paraId="7474B587" w14:textId="5739A5B2" w:rsidR="00EC64E2" w:rsidRPr="000640AC" w:rsidRDefault="00EC64E2" w:rsidP="000640AC">
      <w:pPr>
        <w:pStyle w:val="BodyText"/>
        <w:spacing w:line="360" w:lineRule="auto"/>
        <w:rPr>
          <w:color w:val="434343"/>
          <w:sz w:val="22"/>
          <w:szCs w:val="22"/>
        </w:rPr>
      </w:pPr>
      <w:r w:rsidRPr="000640AC">
        <w:rPr>
          <w:color w:val="434343"/>
          <w:sz w:val="22"/>
          <w:szCs w:val="22"/>
        </w:rPr>
        <w:t>They will bring both knowledge and delivery capability to support leaders with practical solutions, alongside playing a key role in M&amp;A due diligence and post-acquisition people risk management. Against the backdrop of OFG’s strong reputation as a leading provider of specialist and inclusive education, supporting over 6,500 children and young people across more than 90 schools, the role will embed consistent ER practices, strengthen organisational capability, and enable the Group to deliver on its vision of building incredible futures for children and young people worldwide.</w:t>
      </w:r>
    </w:p>
    <w:p w14:paraId="173317AA" w14:textId="3C8FD1E9" w:rsidR="006C131C" w:rsidRPr="000640AC" w:rsidRDefault="006C131C" w:rsidP="000640AC">
      <w:pPr>
        <w:pStyle w:val="BodyText"/>
        <w:spacing w:line="360" w:lineRule="auto"/>
        <w:rPr>
          <w:sz w:val="22"/>
          <w:szCs w:val="22"/>
        </w:rPr>
      </w:pPr>
      <w:r w:rsidRPr="000640AC">
        <w:rPr>
          <w:sz w:val="22"/>
          <w:szCs w:val="22"/>
        </w:rPr>
        <w:tab/>
      </w:r>
    </w:p>
    <w:p w14:paraId="74ACFF72" w14:textId="673A81D0" w:rsidR="006C131C" w:rsidRPr="000640AC" w:rsidRDefault="006C131C" w:rsidP="000640AC">
      <w:pPr>
        <w:pStyle w:val="BodyText"/>
        <w:spacing w:line="360" w:lineRule="auto"/>
        <w:rPr>
          <w:sz w:val="22"/>
          <w:szCs w:val="22"/>
        </w:rPr>
      </w:pPr>
      <w:r w:rsidRPr="000640AC">
        <w:rPr>
          <w:sz w:val="22"/>
          <w:szCs w:val="22"/>
        </w:rPr>
        <w:t xml:space="preserve">KEY RESPONSIBILITIES: </w:t>
      </w:r>
    </w:p>
    <w:p w14:paraId="36526D5B" w14:textId="3BD893AB"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Employee Relations Leadership – Develop and deliver the ER strategy for the region, ensuring consistent application of policies and alignment with local labour laws. </w:t>
      </w:r>
    </w:p>
    <w:p w14:paraId="133A10BB" w14:textId="7EA5CE60"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M&amp;A Due Diligence – Lead the people-related workstream during due diligence, assessing employment liabilities, contractual obligations, and workforce risks. </w:t>
      </w:r>
    </w:p>
    <w:p w14:paraId="35A09327" w14:textId="39EB2F1D"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Post-Acquisition Compliance – Oversee ER aspects of integration, including TUPE/transfer </w:t>
      </w:r>
      <w:r w:rsidRPr="000640AC">
        <w:rPr>
          <w:color w:val="434343"/>
          <w:sz w:val="22"/>
          <w:szCs w:val="22"/>
        </w:rPr>
        <w:lastRenderedPageBreak/>
        <w:t xml:space="preserve">processes, works council engagement, and collective agreements. </w:t>
      </w:r>
    </w:p>
    <w:p w14:paraId="6C3A0200" w14:textId="0E7B374A"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Case Management – Advise and coach business leaders on complex disciplinary, grievance, and performance matters, ensuring fairness and compliance. </w:t>
      </w:r>
    </w:p>
    <w:p w14:paraId="086BBB1B" w14:textId="2804DDDD"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Policy Governance – Maintain and update regional HR policies and procedures, ensuring they meet local legal requirements and best practice standards. </w:t>
      </w:r>
    </w:p>
    <w:p w14:paraId="27F5AD16" w14:textId="5DC021CD"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Regulatory Compliance – Partner with legal and compliance teams to mitigate people-related risks in regulated settings. </w:t>
      </w:r>
    </w:p>
    <w:p w14:paraId="16FDFA43" w14:textId="2EDDB05B" w:rsidR="00EC64E2" w:rsidRPr="000640AC" w:rsidRDefault="00EC64E2" w:rsidP="000640AC">
      <w:pPr>
        <w:pStyle w:val="BodyText"/>
        <w:numPr>
          <w:ilvl w:val="0"/>
          <w:numId w:val="3"/>
        </w:numPr>
        <w:spacing w:line="360" w:lineRule="auto"/>
        <w:rPr>
          <w:color w:val="434343"/>
          <w:sz w:val="22"/>
          <w:szCs w:val="22"/>
        </w:rPr>
      </w:pPr>
      <w:r w:rsidRPr="000640AC">
        <w:rPr>
          <w:color w:val="434343"/>
          <w:sz w:val="22"/>
          <w:szCs w:val="22"/>
        </w:rPr>
        <w:t xml:space="preserve">Stakeholder Partnership – Build strong working relationships with business leaders, legal teams, and employee representatives to enable effective resolution of people matters. </w:t>
      </w:r>
    </w:p>
    <w:p w14:paraId="2BD09B65" w14:textId="77777777" w:rsidR="006C131C" w:rsidRPr="000640AC" w:rsidRDefault="006C131C" w:rsidP="000640AC">
      <w:pPr>
        <w:pStyle w:val="BodyText"/>
        <w:spacing w:line="360" w:lineRule="auto"/>
        <w:rPr>
          <w:b/>
          <w:bCs/>
          <w:sz w:val="22"/>
          <w:szCs w:val="22"/>
        </w:rPr>
      </w:pPr>
    </w:p>
    <w:p w14:paraId="7CE64994" w14:textId="77777777" w:rsidR="006C131C" w:rsidRPr="000640AC" w:rsidRDefault="006C131C" w:rsidP="000640AC">
      <w:pPr>
        <w:pStyle w:val="BodyText"/>
        <w:spacing w:line="360" w:lineRule="auto"/>
        <w:rPr>
          <w:b/>
          <w:bCs/>
          <w:sz w:val="22"/>
          <w:szCs w:val="22"/>
        </w:rPr>
      </w:pPr>
      <w:r w:rsidRPr="000640AC">
        <w:rPr>
          <w:b/>
          <w:bCs/>
          <w:sz w:val="22"/>
          <w:szCs w:val="22"/>
        </w:rPr>
        <w:t>STANDARD RESPONSIBILITIES:</w:t>
      </w:r>
    </w:p>
    <w:p w14:paraId="29A1B571" w14:textId="77777777" w:rsidR="006C131C" w:rsidRPr="000640AC" w:rsidRDefault="006C131C" w:rsidP="000640AC">
      <w:pPr>
        <w:pStyle w:val="BodyText"/>
        <w:spacing w:line="360" w:lineRule="auto"/>
        <w:rPr>
          <w:sz w:val="22"/>
          <w:szCs w:val="22"/>
        </w:rPr>
      </w:pPr>
    </w:p>
    <w:p w14:paraId="3BBA8180" w14:textId="77777777" w:rsidR="006C131C" w:rsidRPr="000640AC" w:rsidRDefault="006C131C" w:rsidP="000640AC">
      <w:pPr>
        <w:pStyle w:val="BodyText"/>
        <w:spacing w:line="360" w:lineRule="auto"/>
        <w:rPr>
          <w:sz w:val="22"/>
          <w:szCs w:val="22"/>
        </w:rPr>
      </w:pPr>
      <w:r w:rsidRPr="000640AC">
        <w:rPr>
          <w:sz w:val="22"/>
          <w:szCs w:val="22"/>
        </w:rPr>
        <w:t xml:space="preserve">There are </w:t>
      </w:r>
      <w:proofErr w:type="gramStart"/>
      <w:r w:rsidRPr="000640AC">
        <w:rPr>
          <w:sz w:val="22"/>
          <w:szCs w:val="22"/>
        </w:rPr>
        <w:t>a number of</w:t>
      </w:r>
      <w:proofErr w:type="gramEnd"/>
      <w:r w:rsidRPr="000640AC">
        <w:rPr>
          <w:sz w:val="22"/>
          <w:szCs w:val="22"/>
        </w:rPr>
        <w:t xml:space="preserve"> standard duties and responsibilities that all employees, irrespective of their role and level of seniority within OFG Group are expected to be familiar with and adhere to.</w:t>
      </w:r>
      <w:r w:rsidRPr="000640AC">
        <w:rPr>
          <w:sz w:val="22"/>
          <w:szCs w:val="22"/>
        </w:rPr>
        <w:br/>
      </w:r>
    </w:p>
    <w:p w14:paraId="7D06CFFB" w14:textId="77777777" w:rsidR="006C131C" w:rsidRPr="000640AC" w:rsidRDefault="006C131C" w:rsidP="000640AC">
      <w:pPr>
        <w:pStyle w:val="BodyText"/>
        <w:spacing w:line="360" w:lineRule="auto"/>
        <w:rPr>
          <w:sz w:val="22"/>
          <w:szCs w:val="22"/>
        </w:rPr>
      </w:pPr>
      <w:r w:rsidRPr="000640AC">
        <w:rPr>
          <w:sz w:val="22"/>
          <w:szCs w:val="22"/>
        </w:rPr>
        <w:t>Leads, manages, and participates in an annual performance review programme</w:t>
      </w:r>
    </w:p>
    <w:p w14:paraId="0965D124" w14:textId="77777777" w:rsidR="006C131C" w:rsidRPr="000640AC" w:rsidRDefault="006C131C" w:rsidP="000640AC">
      <w:pPr>
        <w:pStyle w:val="BodyText"/>
        <w:spacing w:line="360" w:lineRule="auto"/>
        <w:rPr>
          <w:sz w:val="22"/>
          <w:szCs w:val="22"/>
        </w:rPr>
      </w:pPr>
      <w:r w:rsidRPr="000640AC">
        <w:rPr>
          <w:sz w:val="22"/>
          <w:szCs w:val="22"/>
        </w:rPr>
        <w:t>Works, always, in accordance with the policies and procedures of the OFG Group and statutory regulations applicable to the Group.</w:t>
      </w:r>
    </w:p>
    <w:p w14:paraId="2214F66C" w14:textId="77777777" w:rsidR="006C131C" w:rsidRPr="000640AC" w:rsidRDefault="006C131C" w:rsidP="000640AC">
      <w:pPr>
        <w:pStyle w:val="BodyText"/>
        <w:spacing w:line="360" w:lineRule="auto"/>
        <w:rPr>
          <w:sz w:val="22"/>
          <w:szCs w:val="22"/>
        </w:rPr>
      </w:pPr>
      <w:r w:rsidRPr="000640AC">
        <w:rPr>
          <w:sz w:val="22"/>
          <w:szCs w:val="22"/>
        </w:rPr>
        <w:t>Observes, always, strict rules of confidentiality appropriate to</w:t>
      </w:r>
      <w:r w:rsidRPr="000640AC">
        <w:rPr>
          <w:spacing w:val="-25"/>
          <w:sz w:val="22"/>
          <w:szCs w:val="22"/>
        </w:rPr>
        <w:t xml:space="preserve"> </w:t>
      </w:r>
      <w:r w:rsidRPr="000640AC">
        <w:rPr>
          <w:sz w:val="22"/>
          <w:szCs w:val="22"/>
        </w:rPr>
        <w:t>the post.</w:t>
      </w:r>
    </w:p>
    <w:p w14:paraId="193E4462" w14:textId="77777777" w:rsidR="006C131C" w:rsidRPr="000640AC" w:rsidRDefault="006C131C" w:rsidP="000640AC">
      <w:pPr>
        <w:pStyle w:val="BodyText"/>
        <w:spacing w:line="360" w:lineRule="auto"/>
        <w:rPr>
          <w:sz w:val="22"/>
          <w:szCs w:val="22"/>
        </w:rPr>
      </w:pPr>
      <w:r w:rsidRPr="000640AC">
        <w:rPr>
          <w:sz w:val="22"/>
          <w:szCs w:val="22"/>
        </w:rPr>
        <w:t>To always comply with the requirements of Health and Safety Regulations to ensure their own wellbeing and that of their</w:t>
      </w:r>
      <w:r w:rsidRPr="000640AC">
        <w:rPr>
          <w:spacing w:val="-24"/>
          <w:sz w:val="22"/>
          <w:szCs w:val="22"/>
        </w:rPr>
        <w:t xml:space="preserve"> </w:t>
      </w:r>
      <w:r w:rsidRPr="000640AC">
        <w:rPr>
          <w:sz w:val="22"/>
          <w:szCs w:val="22"/>
        </w:rPr>
        <w:t>colleagues.</w:t>
      </w:r>
    </w:p>
    <w:p w14:paraId="04D23175" w14:textId="77777777" w:rsidR="006C131C" w:rsidRPr="000640AC" w:rsidRDefault="006C131C" w:rsidP="000640AC">
      <w:pPr>
        <w:pStyle w:val="BodyText"/>
        <w:spacing w:line="360" w:lineRule="auto"/>
        <w:rPr>
          <w:sz w:val="22"/>
          <w:szCs w:val="22"/>
        </w:rPr>
      </w:pPr>
    </w:p>
    <w:p w14:paraId="0EBFFE6B" w14:textId="77777777" w:rsidR="006C131C" w:rsidRPr="000640AC" w:rsidRDefault="006C131C" w:rsidP="000640AC">
      <w:pPr>
        <w:pStyle w:val="BodyText"/>
        <w:spacing w:line="360" w:lineRule="auto"/>
        <w:rPr>
          <w:sz w:val="22"/>
          <w:szCs w:val="22"/>
        </w:rPr>
      </w:pPr>
      <w:r w:rsidRPr="000640AC">
        <w:rPr>
          <w:sz w:val="22"/>
          <w:szCs w:val="22"/>
        </w:rPr>
        <w:t>OFG Group is committed to safeguarding and promoting the welfare of children, young people and vulnerable adults and expect all employees to work in accordance with this.</w:t>
      </w:r>
    </w:p>
    <w:p w14:paraId="76900916" w14:textId="77777777" w:rsidR="006C131C" w:rsidRPr="000640AC" w:rsidRDefault="006C131C" w:rsidP="000640AC">
      <w:pPr>
        <w:pStyle w:val="BodyText"/>
        <w:spacing w:line="360" w:lineRule="auto"/>
        <w:rPr>
          <w:sz w:val="22"/>
          <w:szCs w:val="22"/>
        </w:rPr>
      </w:pPr>
      <w:r w:rsidRPr="000640AC">
        <w:rPr>
          <w:sz w:val="22"/>
          <w:szCs w:val="22"/>
        </w:rPr>
        <w:t>Ability to work attentively and accurately with data inputting</w:t>
      </w:r>
    </w:p>
    <w:p w14:paraId="0EB9965E" w14:textId="77777777" w:rsidR="006C131C" w:rsidRPr="000640AC" w:rsidRDefault="006C131C" w:rsidP="000640AC">
      <w:pPr>
        <w:pStyle w:val="BodyText"/>
        <w:spacing w:line="360" w:lineRule="auto"/>
        <w:rPr>
          <w:sz w:val="22"/>
          <w:szCs w:val="22"/>
        </w:rPr>
      </w:pPr>
      <w:bookmarkStart w:id="0" w:name="_Hlk36106641"/>
      <w:r w:rsidRPr="000640AC">
        <w:rPr>
          <w:sz w:val="22"/>
          <w:szCs w:val="22"/>
        </w:rPr>
        <w:t>Undertakes other duties as assigned.</w:t>
      </w:r>
    </w:p>
    <w:bookmarkEnd w:id="0"/>
    <w:p w14:paraId="1A1EC958" w14:textId="09C368B5" w:rsidR="006C131C" w:rsidRPr="000640AC" w:rsidRDefault="006C131C" w:rsidP="000640AC">
      <w:pPr>
        <w:pStyle w:val="BodyText"/>
        <w:spacing w:line="360" w:lineRule="auto"/>
        <w:rPr>
          <w:b/>
          <w:sz w:val="22"/>
          <w:szCs w:val="22"/>
        </w:rPr>
      </w:pPr>
      <w:r w:rsidRPr="000640AC">
        <w:rPr>
          <w:b/>
          <w:sz w:val="22"/>
          <w:szCs w:val="22"/>
        </w:rPr>
        <w:br/>
        <w:t xml:space="preserve">EXPERIENCE, SKILLS &amp; QUALIFICATIONS: </w:t>
      </w:r>
    </w:p>
    <w:p w14:paraId="6B9BC944" w14:textId="5A190165"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 xml:space="preserve">Extensive employee relations experience across multiple European and Middle Eastern jurisdictions. </w:t>
      </w:r>
    </w:p>
    <w:p w14:paraId="136C9EFD" w14:textId="5DDE9E44"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 xml:space="preserve">Demonstrated expertise in M&amp;A due diligence and post-acquisition ER integration. </w:t>
      </w:r>
    </w:p>
    <w:p w14:paraId="17BC2C2B" w14:textId="406A82D3"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Deep understanding of employment law, TUPE, and collective bargaining.</w:t>
      </w:r>
    </w:p>
    <w:p w14:paraId="528524E5" w14:textId="5129C213"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 xml:space="preserve">Strong coaching and advisory skills for senior leaders. </w:t>
      </w:r>
    </w:p>
    <w:p w14:paraId="58E5544F" w14:textId="4A07428C"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 xml:space="preserve">Experience in regulated, multi-site environments, ideally in education, healthcare, or </w:t>
      </w:r>
      <w:proofErr w:type="gramStart"/>
      <w:r w:rsidRPr="000640AC">
        <w:rPr>
          <w:color w:val="434343"/>
          <w:sz w:val="22"/>
          <w:szCs w:val="22"/>
        </w:rPr>
        <w:t>similar  sectors</w:t>
      </w:r>
      <w:proofErr w:type="gramEnd"/>
      <w:r w:rsidRPr="000640AC">
        <w:rPr>
          <w:color w:val="434343"/>
          <w:sz w:val="22"/>
          <w:szCs w:val="22"/>
        </w:rPr>
        <w:t xml:space="preserve">. </w:t>
      </w:r>
    </w:p>
    <w:p w14:paraId="70E042D9" w14:textId="1390C111" w:rsidR="00EC64E2" w:rsidRPr="000640AC" w:rsidRDefault="00EC64E2" w:rsidP="000640AC">
      <w:pPr>
        <w:pStyle w:val="BodyText"/>
        <w:numPr>
          <w:ilvl w:val="0"/>
          <w:numId w:val="6"/>
        </w:numPr>
        <w:spacing w:line="360" w:lineRule="auto"/>
        <w:rPr>
          <w:color w:val="434343"/>
          <w:sz w:val="22"/>
          <w:szCs w:val="22"/>
        </w:rPr>
      </w:pPr>
      <w:r w:rsidRPr="000640AC">
        <w:rPr>
          <w:color w:val="434343"/>
          <w:sz w:val="22"/>
          <w:szCs w:val="22"/>
        </w:rPr>
        <w:t>Ability to manage high-risk, complex ER cases in a sensitive and commercially pragmatic way.</w:t>
      </w:r>
    </w:p>
    <w:p w14:paraId="2FC0471B" w14:textId="77777777" w:rsidR="006C131C" w:rsidRPr="000640AC" w:rsidRDefault="006C131C" w:rsidP="000640AC">
      <w:pPr>
        <w:pStyle w:val="BodyText"/>
        <w:spacing w:line="360" w:lineRule="auto"/>
        <w:rPr>
          <w:sz w:val="22"/>
          <w:szCs w:val="22"/>
        </w:rPr>
      </w:pPr>
    </w:p>
    <w:p w14:paraId="7E749C90" w14:textId="77777777" w:rsidR="006C131C" w:rsidRPr="000640AC" w:rsidRDefault="006C131C" w:rsidP="000640AC">
      <w:pPr>
        <w:pStyle w:val="BodyText"/>
        <w:spacing w:line="360" w:lineRule="auto"/>
        <w:rPr>
          <w:bCs/>
          <w:sz w:val="22"/>
          <w:szCs w:val="22"/>
        </w:rPr>
      </w:pPr>
      <w:r w:rsidRPr="000640AC">
        <w:rPr>
          <w:bCs/>
          <w:sz w:val="22"/>
          <w:szCs w:val="22"/>
        </w:rPr>
        <w:t xml:space="preserve">Job Holder’ signature </w:t>
      </w:r>
    </w:p>
    <w:p w14:paraId="5AA744A2" w14:textId="77777777" w:rsidR="006C131C" w:rsidRPr="000640AC" w:rsidRDefault="006C131C" w:rsidP="000640AC">
      <w:pPr>
        <w:pStyle w:val="BodyText"/>
        <w:spacing w:line="360" w:lineRule="auto"/>
        <w:rPr>
          <w:sz w:val="22"/>
          <w:szCs w:val="22"/>
        </w:rPr>
      </w:pPr>
    </w:p>
    <w:p w14:paraId="5E00F2A9" w14:textId="77777777" w:rsidR="006C131C" w:rsidRPr="000640AC" w:rsidRDefault="006C131C" w:rsidP="000640AC">
      <w:pPr>
        <w:pStyle w:val="BodyText"/>
        <w:spacing w:line="360" w:lineRule="auto"/>
        <w:rPr>
          <w:sz w:val="22"/>
          <w:szCs w:val="22"/>
        </w:rPr>
      </w:pPr>
      <w:r w:rsidRPr="000640AC">
        <w:rPr>
          <w:sz w:val="22"/>
          <w:szCs w:val="22"/>
        </w:rPr>
        <w:t>Name: _______________________________</w:t>
      </w:r>
    </w:p>
    <w:p w14:paraId="656A283E" w14:textId="77777777" w:rsidR="006C131C" w:rsidRPr="000640AC" w:rsidRDefault="006C131C" w:rsidP="000640AC">
      <w:pPr>
        <w:pStyle w:val="BodyText"/>
        <w:spacing w:line="360" w:lineRule="auto"/>
        <w:rPr>
          <w:sz w:val="22"/>
          <w:szCs w:val="22"/>
        </w:rPr>
      </w:pPr>
    </w:p>
    <w:p w14:paraId="3496AD1D" w14:textId="77777777" w:rsidR="006C131C" w:rsidRPr="000640AC" w:rsidRDefault="006C131C" w:rsidP="000640AC">
      <w:pPr>
        <w:pStyle w:val="BodyText"/>
        <w:spacing w:line="360" w:lineRule="auto"/>
        <w:rPr>
          <w:sz w:val="22"/>
          <w:szCs w:val="22"/>
        </w:rPr>
      </w:pPr>
      <w:r w:rsidRPr="000640AC">
        <w:rPr>
          <w:sz w:val="22"/>
          <w:szCs w:val="22"/>
        </w:rPr>
        <w:t xml:space="preserve">Signed: ______________________________ </w:t>
      </w:r>
      <w:r w:rsidRPr="000640AC">
        <w:rPr>
          <w:sz w:val="22"/>
          <w:szCs w:val="22"/>
        </w:rPr>
        <w:tab/>
      </w:r>
      <w:r w:rsidRPr="000640AC">
        <w:rPr>
          <w:sz w:val="22"/>
          <w:szCs w:val="22"/>
        </w:rPr>
        <w:tab/>
        <w:t>Date: ________________</w:t>
      </w:r>
    </w:p>
    <w:p w14:paraId="137BFC2B" w14:textId="77777777" w:rsidR="006C131C" w:rsidRPr="000640AC" w:rsidRDefault="006C131C" w:rsidP="000640AC">
      <w:pPr>
        <w:pStyle w:val="BodyText"/>
        <w:spacing w:line="360" w:lineRule="auto"/>
        <w:rPr>
          <w:sz w:val="22"/>
          <w:szCs w:val="22"/>
        </w:rPr>
      </w:pPr>
    </w:p>
    <w:p w14:paraId="1685ADCE" w14:textId="77777777" w:rsidR="006C131C" w:rsidRPr="000640AC" w:rsidRDefault="006C131C" w:rsidP="000640AC">
      <w:pPr>
        <w:pStyle w:val="BodyText"/>
        <w:spacing w:line="360" w:lineRule="auto"/>
        <w:rPr>
          <w:sz w:val="22"/>
          <w:szCs w:val="22"/>
        </w:rPr>
      </w:pPr>
      <w:r w:rsidRPr="000640AC">
        <w:rPr>
          <w:sz w:val="22"/>
          <w:szCs w:val="22"/>
        </w:rPr>
        <w:t>Signed on behalf of the OFG Group</w:t>
      </w:r>
    </w:p>
    <w:p w14:paraId="21696372" w14:textId="77777777" w:rsidR="006C131C" w:rsidRPr="000640AC" w:rsidRDefault="006C131C" w:rsidP="000640AC">
      <w:pPr>
        <w:pStyle w:val="BodyText"/>
        <w:spacing w:line="360" w:lineRule="auto"/>
        <w:rPr>
          <w:sz w:val="22"/>
          <w:szCs w:val="22"/>
        </w:rPr>
      </w:pPr>
    </w:p>
    <w:p w14:paraId="6318DB50" w14:textId="77777777" w:rsidR="006C131C" w:rsidRPr="000640AC" w:rsidRDefault="006C131C" w:rsidP="000640AC">
      <w:pPr>
        <w:pStyle w:val="BodyText"/>
        <w:spacing w:line="360" w:lineRule="auto"/>
        <w:rPr>
          <w:sz w:val="22"/>
          <w:szCs w:val="22"/>
        </w:rPr>
      </w:pPr>
      <w:r w:rsidRPr="000640AC">
        <w:rPr>
          <w:sz w:val="22"/>
          <w:szCs w:val="22"/>
        </w:rPr>
        <w:t xml:space="preserve">Name: </w:t>
      </w:r>
      <w:r w:rsidRPr="000640AC">
        <w:rPr>
          <w:sz w:val="22"/>
          <w:szCs w:val="22"/>
        </w:rPr>
        <w:tab/>
        <w:t>: _____________________________</w:t>
      </w:r>
      <w:r w:rsidRPr="000640AC">
        <w:rPr>
          <w:sz w:val="22"/>
          <w:szCs w:val="22"/>
        </w:rPr>
        <w:tab/>
      </w:r>
      <w:r w:rsidRPr="000640AC">
        <w:rPr>
          <w:sz w:val="22"/>
          <w:szCs w:val="22"/>
        </w:rPr>
        <w:tab/>
        <w:t xml:space="preserve">Title: </w:t>
      </w:r>
    </w:p>
    <w:p w14:paraId="4BA2702B" w14:textId="77777777" w:rsidR="006C131C" w:rsidRPr="000640AC" w:rsidRDefault="006C131C" w:rsidP="000640AC">
      <w:pPr>
        <w:pStyle w:val="BodyText"/>
        <w:spacing w:line="360" w:lineRule="auto"/>
        <w:rPr>
          <w:sz w:val="22"/>
          <w:szCs w:val="22"/>
        </w:rPr>
      </w:pPr>
      <w:r w:rsidRPr="000640AC">
        <w:rPr>
          <w:sz w:val="22"/>
          <w:szCs w:val="22"/>
        </w:rPr>
        <w:tab/>
      </w:r>
      <w:r w:rsidRPr="000640AC">
        <w:rPr>
          <w:sz w:val="22"/>
          <w:szCs w:val="22"/>
        </w:rPr>
        <w:tab/>
      </w:r>
      <w:r w:rsidRPr="000640AC">
        <w:rPr>
          <w:sz w:val="22"/>
          <w:szCs w:val="22"/>
        </w:rPr>
        <w:tab/>
      </w:r>
      <w:r w:rsidRPr="000640AC">
        <w:rPr>
          <w:sz w:val="22"/>
          <w:szCs w:val="22"/>
        </w:rPr>
        <w:tab/>
      </w:r>
    </w:p>
    <w:p w14:paraId="31B5EEE0" w14:textId="77777777" w:rsidR="006C131C" w:rsidRPr="000640AC" w:rsidRDefault="006C131C" w:rsidP="000640AC">
      <w:pPr>
        <w:pStyle w:val="BodyText"/>
        <w:spacing w:line="360" w:lineRule="auto"/>
        <w:rPr>
          <w:bCs/>
          <w:sz w:val="22"/>
          <w:szCs w:val="22"/>
        </w:rPr>
      </w:pPr>
    </w:p>
    <w:p w14:paraId="2B99C544" w14:textId="77777777" w:rsidR="006C131C" w:rsidRPr="000640AC" w:rsidRDefault="006C131C" w:rsidP="000640AC">
      <w:pPr>
        <w:pStyle w:val="BodyText"/>
        <w:spacing w:line="360" w:lineRule="auto"/>
        <w:rPr>
          <w:bCs/>
          <w:sz w:val="22"/>
          <w:szCs w:val="22"/>
        </w:rPr>
      </w:pPr>
      <w:r w:rsidRPr="000640AC">
        <w:rPr>
          <w:bCs/>
          <w:sz w:val="22"/>
          <w:szCs w:val="22"/>
        </w:rPr>
        <w:t xml:space="preserve">Signed: _____________________________                </w:t>
      </w:r>
      <w:r w:rsidRPr="000640AC">
        <w:rPr>
          <w:bCs/>
          <w:sz w:val="22"/>
          <w:szCs w:val="22"/>
        </w:rPr>
        <w:tab/>
        <w:t>Date: ________________</w:t>
      </w:r>
    </w:p>
    <w:p w14:paraId="0345C6DF" w14:textId="1459F37F" w:rsidR="00914C10" w:rsidRPr="000640AC" w:rsidRDefault="00914C10" w:rsidP="000640AC">
      <w:pPr>
        <w:pStyle w:val="BodyText"/>
        <w:spacing w:line="360" w:lineRule="auto"/>
        <w:rPr>
          <w:sz w:val="22"/>
          <w:szCs w:val="22"/>
        </w:rPr>
      </w:pPr>
    </w:p>
    <w:sectPr w:rsidR="00914C10" w:rsidRPr="000640AC"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8C3A" w14:textId="77777777" w:rsidR="001768CD" w:rsidRDefault="001768CD" w:rsidP="00BB76A5">
      <w:pPr>
        <w:spacing w:after="0" w:line="240" w:lineRule="auto"/>
      </w:pPr>
      <w:r>
        <w:separator/>
      </w:r>
    </w:p>
  </w:endnote>
  <w:endnote w:type="continuationSeparator" w:id="0">
    <w:p w14:paraId="28B00DAE" w14:textId="77777777" w:rsidR="001768CD" w:rsidRDefault="001768CD"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058D" w14:textId="77777777" w:rsidR="001768CD" w:rsidRDefault="001768CD" w:rsidP="00BB76A5">
      <w:pPr>
        <w:spacing w:after="0" w:line="240" w:lineRule="auto"/>
      </w:pPr>
      <w:r>
        <w:separator/>
      </w:r>
    </w:p>
  </w:footnote>
  <w:footnote w:type="continuationSeparator" w:id="0">
    <w:p w14:paraId="4992F21E" w14:textId="77777777" w:rsidR="001768CD" w:rsidRDefault="001768CD"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1E024C3B" w:rsidR="00BB76A5" w:rsidRPr="00BB76A5" w:rsidRDefault="000640AC" w:rsidP="00BB76A5">
    <w:pPr>
      <w:pStyle w:val="Header"/>
      <w:jc w:val="righ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050F3BB8">
              <wp:simplePos x="0" y="0"/>
              <wp:positionH relativeFrom="column">
                <wp:posOffset>3223260</wp:posOffset>
              </wp:positionH>
              <wp:positionV relativeFrom="paragraph">
                <wp:posOffset>-663575</wp:posOffset>
              </wp:positionV>
              <wp:extent cx="381762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817620" cy="754380"/>
                      </a:xfrm>
                      <a:prstGeom prst="rect">
                        <a:avLst/>
                      </a:prstGeom>
                      <a:solidFill>
                        <a:schemeClr val="lt1"/>
                      </a:solidFill>
                      <a:ln w="6350">
                        <a:noFill/>
                      </a:ln>
                    </wps:spPr>
                    <wps:txbx>
                      <w:txbxContent>
                        <w:p w14:paraId="44FD452F" w14:textId="7CAEA58E" w:rsidR="00BB76A5" w:rsidRPr="000640AC" w:rsidRDefault="00BB76A5" w:rsidP="000640AC">
                          <w:pPr>
                            <w:spacing w:after="0"/>
                            <w:jc w:val="right"/>
                            <w:rPr>
                              <w:rFonts w:ascii="Arial" w:hAnsi="Arial" w:cs="Arial"/>
                              <w:b/>
                              <w:bCs/>
                              <w:szCs w:val="22"/>
                            </w:rPr>
                          </w:pPr>
                          <w:r w:rsidRPr="000640AC">
                            <w:rPr>
                              <w:rFonts w:ascii="Arial" w:hAnsi="Arial" w:cs="Arial"/>
                              <w:b/>
                              <w:bCs/>
                              <w:szCs w:val="22"/>
                            </w:rPr>
                            <w:t>Job Description</w:t>
                          </w:r>
                        </w:p>
                        <w:p w14:paraId="4E56E2B9" w14:textId="514ECFD8" w:rsidR="000640AC" w:rsidRPr="000640AC" w:rsidRDefault="000640AC" w:rsidP="000640AC">
                          <w:pPr>
                            <w:spacing w:after="0"/>
                            <w:jc w:val="right"/>
                            <w:rPr>
                              <w:rFonts w:ascii="Arial" w:hAnsi="Arial" w:cs="Arial"/>
                              <w:b/>
                              <w:bCs/>
                              <w:szCs w:val="22"/>
                            </w:rPr>
                          </w:pPr>
                          <w:r w:rsidRPr="000640AC">
                            <w:rPr>
                              <w:rFonts w:ascii="Arial" w:hAnsi="Arial" w:cs="Arial"/>
                              <w:b/>
                              <w:bCs/>
                              <w:szCs w:val="22"/>
                            </w:rPr>
                            <w:t>Group</w:t>
                          </w:r>
                        </w:p>
                        <w:p w14:paraId="27784826" w14:textId="209BA879" w:rsidR="000640AC" w:rsidRPr="000640AC" w:rsidRDefault="000640AC" w:rsidP="000640AC">
                          <w:pPr>
                            <w:spacing w:after="0"/>
                            <w:ind w:left="161" w:firstLine="0"/>
                            <w:jc w:val="right"/>
                            <w:rPr>
                              <w:rFonts w:ascii="Arial" w:hAnsi="Arial" w:cs="Arial"/>
                              <w:b/>
                              <w:bCs/>
                              <w:sz w:val="20"/>
                              <w:szCs w:val="20"/>
                            </w:rPr>
                          </w:pPr>
                          <w:r w:rsidRPr="000640AC">
                            <w:rPr>
                              <w:rFonts w:ascii="Arial" w:hAnsi="Arial" w:cs="Arial"/>
                              <w:b/>
                              <w:bCs/>
                              <w:sz w:val="20"/>
                              <w:szCs w:val="20"/>
                            </w:rPr>
                            <w:t>Head of HR/Employee Relations, Europe and Middle East</w:t>
                          </w:r>
                        </w:p>
                        <w:p w14:paraId="0563E185" w14:textId="4B9BDCCE" w:rsidR="00BB76A5" w:rsidRPr="000640AC" w:rsidRDefault="00BB76A5" w:rsidP="00BB76A5">
                          <w:pPr>
                            <w:spacing w:after="0"/>
                            <w:jc w:val="right"/>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53.8pt;margin-top:-52.25pt;width:300.6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2FKwIAAFQEAAAOAAAAZHJzL2Uyb0RvYy54bWysVNuO2yAQfa/Uf0C8N849qRVnlWaVqlK0&#10;u1K22meCIbaEGQokdvr1HbBz6bZPVV/wwAxzOefgxUNTKXIS1pWgMzro9SkRmkNe6kNGv79uPs0p&#10;cZ7pnCnQIqNn4ejD8uOHRW1SMYQCVC4swSTapbXJaOG9SZPE8UJUzPXACI1OCbZiHrf2kOSW1Zi9&#10;Usmw358mNdjcWODCOTx9bJ10GfNLKbh/ltIJT1RGsTcfVxvXfViT5YKlB8tMUfKuDfYPXVSs1Fj0&#10;muqReUaOtvwjVVVyCw6k73GoEpCy5CLOgNMM+u+m2RXMiDgLguPMFSb3/9Lyp9POvFjimy/QIIEB&#10;kNq41OFhmKeRtgpf7JSgHyE8X2ETjSccD0fzwWw6RBdH32wyHs0jrsnttrHOfxVQkWBk1CItES12&#10;2jqPFTH0EhKKOVBlvimVipsgBbFWlpwYkqh87BFv/BalNKkzOh1N+jGxhnC9zaw0FrjNFCzf7Jtu&#10;0D3kZ5zfQisNZ/imxCa3zPkXZlELOBfq2z/jIhVgEegsSgqwP/92HuKRIvRSUqO2Mup+HJkVlKhv&#10;Gsn7PBiPgxjjZjyZBezsvWd/79HHag04+QBfkuHRDPFeXUxpoXrDZ7AKVdHFNMfaGfUXc+1bxeMz&#10;4mK1ikEoP8P8Vu8MD6kD0oGC1+aNWdPx5JHhJ7iokKXv6Gpjw00Nq6MHWUYuA8Atqh3uKN1IcffM&#10;wtu438eo289g+QsAAP//AwBQSwMEFAAGAAgAAAAhAA09Sd7jAAAADAEAAA8AAABkcnMvZG93bnJl&#10;di54bWxMj8tqwzAQRfeF/IOYQDclkVzHSXAth1L6gO4a90F3ijWxTayRsRTb/fsqq3Y3wxzunJvt&#10;JtOyAXvXWJIQLQUwpNLqhioJ78XTYgvMeUVatZZQwg862OWzq0yl2o70hsPeVyyEkEuVhNr7LuXc&#10;lTUa5Za2Qwq3o+2N8mHtK657NYZw0/JbIdbcqIbCh1p1+FBjedqfjYTvm+rr1U3PH2OcxN3jy1Bs&#10;PnUh5fV8ur8D5nHyfzBc9IM65MHpYM+kHWslJGKzDqiERSRWCbALEoltqHMI0yoGnmf8f4n8FwAA&#10;//8DAFBLAQItABQABgAIAAAAIQC2gziS/gAAAOEBAAATAAAAAAAAAAAAAAAAAAAAAABbQ29udGVu&#10;dF9UeXBlc10ueG1sUEsBAi0AFAAGAAgAAAAhADj9If/WAAAAlAEAAAsAAAAAAAAAAAAAAAAALwEA&#10;AF9yZWxzLy5yZWxzUEsBAi0AFAAGAAgAAAAhAF2VXYUrAgAAVAQAAA4AAAAAAAAAAAAAAAAALgIA&#10;AGRycy9lMm9Eb2MueG1sUEsBAi0AFAAGAAgAAAAhAA09Sd7jAAAADAEAAA8AAAAAAAAAAAAAAAAA&#10;hQQAAGRycy9kb3ducmV2LnhtbFBLBQYAAAAABAAEAPMAAACVBQAAAAA=&#10;" fillcolor="white [3201]" stroked="f" strokeweight=".5pt">
              <v:textbox>
                <w:txbxContent>
                  <w:p w14:paraId="44FD452F" w14:textId="7CAEA58E" w:rsidR="00BB76A5" w:rsidRPr="000640AC" w:rsidRDefault="00BB76A5" w:rsidP="000640AC">
                    <w:pPr>
                      <w:spacing w:after="0"/>
                      <w:jc w:val="right"/>
                      <w:rPr>
                        <w:rFonts w:ascii="Arial" w:hAnsi="Arial" w:cs="Arial"/>
                        <w:b/>
                        <w:bCs/>
                        <w:szCs w:val="22"/>
                      </w:rPr>
                    </w:pPr>
                    <w:r w:rsidRPr="000640AC">
                      <w:rPr>
                        <w:rFonts w:ascii="Arial" w:hAnsi="Arial" w:cs="Arial"/>
                        <w:b/>
                        <w:bCs/>
                        <w:szCs w:val="22"/>
                      </w:rPr>
                      <w:t>Job Description</w:t>
                    </w:r>
                  </w:p>
                  <w:p w14:paraId="4E56E2B9" w14:textId="514ECFD8" w:rsidR="000640AC" w:rsidRPr="000640AC" w:rsidRDefault="000640AC" w:rsidP="000640AC">
                    <w:pPr>
                      <w:spacing w:after="0"/>
                      <w:jc w:val="right"/>
                      <w:rPr>
                        <w:rFonts w:ascii="Arial" w:hAnsi="Arial" w:cs="Arial"/>
                        <w:b/>
                        <w:bCs/>
                        <w:szCs w:val="22"/>
                      </w:rPr>
                    </w:pPr>
                    <w:r w:rsidRPr="000640AC">
                      <w:rPr>
                        <w:rFonts w:ascii="Arial" w:hAnsi="Arial" w:cs="Arial"/>
                        <w:b/>
                        <w:bCs/>
                        <w:szCs w:val="22"/>
                      </w:rPr>
                      <w:t>Group</w:t>
                    </w:r>
                  </w:p>
                  <w:p w14:paraId="27784826" w14:textId="209BA879" w:rsidR="000640AC" w:rsidRPr="000640AC" w:rsidRDefault="000640AC" w:rsidP="000640AC">
                    <w:pPr>
                      <w:spacing w:after="0"/>
                      <w:ind w:left="161" w:firstLine="0"/>
                      <w:jc w:val="right"/>
                      <w:rPr>
                        <w:rFonts w:ascii="Arial" w:hAnsi="Arial" w:cs="Arial"/>
                        <w:b/>
                        <w:bCs/>
                        <w:sz w:val="20"/>
                        <w:szCs w:val="20"/>
                      </w:rPr>
                    </w:pPr>
                    <w:r w:rsidRPr="000640AC">
                      <w:rPr>
                        <w:rFonts w:ascii="Arial" w:hAnsi="Arial" w:cs="Arial"/>
                        <w:b/>
                        <w:bCs/>
                        <w:sz w:val="20"/>
                        <w:szCs w:val="20"/>
                      </w:rPr>
                      <w:t>Head of HR/Employee Relations, Europe and Middle East</w:t>
                    </w:r>
                  </w:p>
                  <w:p w14:paraId="0563E185" w14:textId="4B9BDCCE" w:rsidR="00BB76A5" w:rsidRPr="000640AC" w:rsidRDefault="00BB76A5" w:rsidP="00BB76A5">
                    <w:pPr>
                      <w:spacing w:after="0"/>
                      <w:jc w:val="right"/>
                      <w:rPr>
                        <w:rFonts w:ascii="Arial" w:hAnsi="Arial" w:cs="Arial"/>
                        <w:b/>
                        <w:bCs/>
                        <w:sz w:val="20"/>
                        <w:szCs w:val="20"/>
                      </w:rPr>
                    </w:pPr>
                  </w:p>
                </w:txbxContent>
              </v:textbox>
            </v:shape>
          </w:pict>
        </mc:Fallback>
      </mc:AlternateContent>
    </w:r>
    <w:r w:rsidR="001A077B">
      <w:rPr>
        <w:rFonts w:ascii="Arial" w:hAnsi="Arial" w:cs="Arial"/>
        <w:b/>
        <w:noProof/>
        <w:sz w:val="24"/>
      </w:rPr>
      <w:drawing>
        <wp:anchor distT="0" distB="0" distL="114300" distR="114300" simplePos="0" relativeHeight="251661312" behindDoc="0" locked="0" layoutInCell="1" allowOverlap="1" wp14:anchorId="768889D4" wp14:editId="675D0504">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AF2"/>
    <w:multiLevelType w:val="hybridMultilevel"/>
    <w:tmpl w:val="C9D80674"/>
    <w:lvl w:ilvl="0" w:tplc="957EA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660C9"/>
    <w:multiLevelType w:val="hybridMultilevel"/>
    <w:tmpl w:val="8A28BB62"/>
    <w:lvl w:ilvl="0" w:tplc="957EA56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54492"/>
    <w:multiLevelType w:val="multilevel"/>
    <w:tmpl w:val="80CE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4F137A"/>
    <w:multiLevelType w:val="hybridMultilevel"/>
    <w:tmpl w:val="5D560DFA"/>
    <w:lvl w:ilvl="0" w:tplc="957EA566">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A36CDE"/>
    <w:multiLevelType w:val="hybridMultilevel"/>
    <w:tmpl w:val="792E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3D247E"/>
    <w:multiLevelType w:val="hybridMultilevel"/>
    <w:tmpl w:val="C30C4A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4383391">
    <w:abstractNumId w:val="2"/>
  </w:num>
  <w:num w:numId="2" w16cid:durableId="530461841">
    <w:abstractNumId w:val="4"/>
  </w:num>
  <w:num w:numId="3" w16cid:durableId="202252231">
    <w:abstractNumId w:val="0"/>
  </w:num>
  <w:num w:numId="4" w16cid:durableId="1394890618">
    <w:abstractNumId w:val="1"/>
  </w:num>
  <w:num w:numId="5" w16cid:durableId="1918053789">
    <w:abstractNumId w:val="3"/>
  </w:num>
  <w:num w:numId="6" w16cid:durableId="8609753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40AC"/>
    <w:rsid w:val="0008226E"/>
    <w:rsid w:val="000A2BA3"/>
    <w:rsid w:val="0015501D"/>
    <w:rsid w:val="001768CD"/>
    <w:rsid w:val="00180CD9"/>
    <w:rsid w:val="00185446"/>
    <w:rsid w:val="00192CBB"/>
    <w:rsid w:val="001A077B"/>
    <w:rsid w:val="001A0D3F"/>
    <w:rsid w:val="001B1F9D"/>
    <w:rsid w:val="001B62FF"/>
    <w:rsid w:val="001C23C0"/>
    <w:rsid w:val="001C7CEF"/>
    <w:rsid w:val="001F055E"/>
    <w:rsid w:val="002160B7"/>
    <w:rsid w:val="002163F4"/>
    <w:rsid w:val="00241B33"/>
    <w:rsid w:val="0024338C"/>
    <w:rsid w:val="00252D43"/>
    <w:rsid w:val="00254671"/>
    <w:rsid w:val="00255232"/>
    <w:rsid w:val="002A4192"/>
    <w:rsid w:val="002B44A6"/>
    <w:rsid w:val="002E6803"/>
    <w:rsid w:val="003629F9"/>
    <w:rsid w:val="00384508"/>
    <w:rsid w:val="003A5198"/>
    <w:rsid w:val="003F5A14"/>
    <w:rsid w:val="00412751"/>
    <w:rsid w:val="004564C3"/>
    <w:rsid w:val="00483F19"/>
    <w:rsid w:val="00486104"/>
    <w:rsid w:val="004D1786"/>
    <w:rsid w:val="004E1B66"/>
    <w:rsid w:val="00510317"/>
    <w:rsid w:val="00530332"/>
    <w:rsid w:val="0058123A"/>
    <w:rsid w:val="005950B2"/>
    <w:rsid w:val="005965BD"/>
    <w:rsid w:val="005D7BCE"/>
    <w:rsid w:val="00632EE9"/>
    <w:rsid w:val="00641580"/>
    <w:rsid w:val="00697E5D"/>
    <w:rsid w:val="006B6C07"/>
    <w:rsid w:val="006C131C"/>
    <w:rsid w:val="006E1127"/>
    <w:rsid w:val="006E17F6"/>
    <w:rsid w:val="00731718"/>
    <w:rsid w:val="00742BE9"/>
    <w:rsid w:val="00744DD8"/>
    <w:rsid w:val="007713F4"/>
    <w:rsid w:val="00793AB0"/>
    <w:rsid w:val="007B1DB4"/>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60E5"/>
    <w:rsid w:val="00AB76B9"/>
    <w:rsid w:val="00AC6A95"/>
    <w:rsid w:val="00B2042D"/>
    <w:rsid w:val="00B22437"/>
    <w:rsid w:val="00B36B63"/>
    <w:rsid w:val="00B370B6"/>
    <w:rsid w:val="00B636AD"/>
    <w:rsid w:val="00B6380B"/>
    <w:rsid w:val="00BB420E"/>
    <w:rsid w:val="00BB76A5"/>
    <w:rsid w:val="00BF0C43"/>
    <w:rsid w:val="00BF55D5"/>
    <w:rsid w:val="00C17788"/>
    <w:rsid w:val="00C20C02"/>
    <w:rsid w:val="00C22DB0"/>
    <w:rsid w:val="00C5373B"/>
    <w:rsid w:val="00C80661"/>
    <w:rsid w:val="00C90D43"/>
    <w:rsid w:val="00C96E93"/>
    <w:rsid w:val="00CA5887"/>
    <w:rsid w:val="00CD4266"/>
    <w:rsid w:val="00CE1820"/>
    <w:rsid w:val="00CF629F"/>
    <w:rsid w:val="00D00F61"/>
    <w:rsid w:val="00D02FD3"/>
    <w:rsid w:val="00D04BAC"/>
    <w:rsid w:val="00D10EA9"/>
    <w:rsid w:val="00D320F9"/>
    <w:rsid w:val="00D70F6C"/>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C64E2"/>
    <w:rsid w:val="00ED67B9"/>
    <w:rsid w:val="00EF4BFB"/>
    <w:rsid w:val="00F34A7D"/>
    <w:rsid w:val="00F76B81"/>
    <w:rsid w:val="00F9078E"/>
    <w:rsid w:val="00F932D8"/>
    <w:rsid w:val="00FA0621"/>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2025-09-11T12:34:00Z</dcterms:created>
  <dcterms:modified xsi:type="dcterms:W3CDTF">2025-09-11T12:34:00Z</dcterms:modified>
</cp:coreProperties>
</file>